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MoneyHero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JONATHAN HONIG</w:t>
              <w:br/>
              <w:t>5825 Windsor Court, 1325 Avenue of the Americas</w:t>
              <w:br/>
              <w:t>Boca Raton, FL, 33496</w:t>
              <w:br/>
              <w:t>561-445-3665</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Elizabeth Honig TR FBO Elizabeth Honig Lifetime Trust UA July 9, 2013</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Elizabeth Honig</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3"/>
        <w:gridCol w:w="7912"/>
      </w:tblGrid>
      <w:tr>
        <w:trPr/>
        <w:tc>
          <w:tcPr>
            <w:tcW w:w="2293" w:type="dxa"/>
            <w:tcBorders/>
            <w:vAlign w:val="center"/>
          </w:tcPr>
          <w:p>
            <w:pPr>
              <w:pStyle w:val="TableContents"/>
              <w:bidi w:val="0"/>
              <w:spacing w:before="0" w:after="283"/>
              <w:jc w:val="left"/>
              <w:rPr/>
            </w:pPr>
            <w:r>
              <w:rPr/>
              <w:t>1</w:t>
            </w:r>
          </w:p>
        </w:tc>
        <w:tc>
          <w:tcPr>
            <w:tcW w:w="79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HONIG JONATHAN</w:t>
            </w:r>
          </w:p>
        </w:tc>
      </w:tr>
      <w:tr>
        <w:trPr/>
        <w:tc>
          <w:tcPr>
            <w:tcW w:w="2293" w:type="dxa"/>
            <w:tcBorders/>
            <w:vAlign w:val="center"/>
          </w:tcPr>
          <w:p>
            <w:pPr>
              <w:pStyle w:val="TableContents"/>
              <w:bidi w:val="0"/>
              <w:spacing w:before="0" w:after="283"/>
              <w:jc w:val="left"/>
              <w:rPr/>
            </w:pPr>
            <w:r>
              <w:rPr/>
              <w:t>2</w:t>
            </w:r>
          </w:p>
        </w:tc>
        <w:tc>
          <w:tcPr>
            <w:tcW w:w="79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3" w:type="dxa"/>
            <w:tcBorders/>
            <w:vAlign w:val="center"/>
          </w:tcPr>
          <w:p>
            <w:pPr>
              <w:pStyle w:val="TableContents"/>
              <w:bidi w:val="0"/>
              <w:spacing w:before="0" w:after="283"/>
              <w:jc w:val="left"/>
              <w:rPr/>
            </w:pPr>
            <w:r>
              <w:rPr/>
              <w:t>3</w:t>
            </w:r>
          </w:p>
        </w:tc>
        <w:tc>
          <w:tcPr>
            <w:tcW w:w="7912" w:type="dxa"/>
            <w:tcBorders/>
            <w:vAlign w:val="center"/>
          </w:tcPr>
          <w:p>
            <w:pPr>
              <w:pStyle w:val="TableContents"/>
              <w:bidi w:val="0"/>
              <w:spacing w:before="0" w:after="283"/>
              <w:jc w:val="left"/>
              <w:rPr/>
            </w:pPr>
            <w:r>
              <w:rPr/>
              <w:t>SEC use only</w:t>
            </w:r>
          </w:p>
        </w:tc>
      </w:tr>
      <w:tr>
        <w:trPr/>
        <w:tc>
          <w:tcPr>
            <w:tcW w:w="2293" w:type="dxa"/>
            <w:tcBorders/>
            <w:vAlign w:val="center"/>
          </w:tcPr>
          <w:p>
            <w:pPr>
              <w:pStyle w:val="TableContents"/>
              <w:bidi w:val="0"/>
              <w:spacing w:before="0" w:after="283"/>
              <w:jc w:val="left"/>
              <w:rPr/>
            </w:pPr>
            <w:r>
              <w:rPr/>
              <w:t>4</w:t>
            </w:r>
          </w:p>
        </w:tc>
        <w:tc>
          <w:tcPr>
            <w:tcW w:w="79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3" w:type="dxa"/>
            <w:tcBorders/>
            <w:vAlign w:val="center"/>
          </w:tcPr>
          <w:p>
            <w:pPr>
              <w:pStyle w:val="TableContents"/>
              <w:bidi w:val="0"/>
              <w:spacing w:before="0" w:after="283"/>
              <w:jc w:val="left"/>
              <w:rPr/>
            </w:pPr>
            <w:r>
              <w:rPr/>
              <w:t>5</w:t>
            </w:r>
          </w:p>
        </w:tc>
        <w:tc>
          <w:tcPr>
            <w:tcW w:w="79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3" w:type="dxa"/>
            <w:tcBorders/>
            <w:vAlign w:val="center"/>
          </w:tcPr>
          <w:p>
            <w:pPr>
              <w:pStyle w:val="TableContents"/>
              <w:bidi w:val="0"/>
              <w:spacing w:before="0" w:after="283"/>
              <w:jc w:val="left"/>
              <w:rPr/>
            </w:pPr>
            <w:r>
              <w:rPr/>
              <w:t>6</w:t>
            </w:r>
          </w:p>
        </w:tc>
        <w:tc>
          <w:tcPr>
            <w:tcW w:w="79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2,106,000.00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2,106,000.00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635,000.00</w:t>
                  </w:r>
                </w:p>
              </w:tc>
            </w:tr>
          </w:tbl>
          <w:p>
            <w:pPr>
              <w:pStyle w:val="TableContents"/>
              <w:bidi w:val="0"/>
              <w:spacing w:before="0" w:after="283"/>
              <w:jc w:val="left"/>
              <w:rPr/>
            </w:pPr>
            <w:r>
              <w:rPr/>
            </w:r>
          </w:p>
        </w:tc>
        <w:tc>
          <w:tcPr>
            <w:tcW w:w="7912" w:type="dxa"/>
            <w:tcBorders/>
            <w:vAlign w:val="center"/>
          </w:tcPr>
          <w:p>
            <w:pPr>
              <w:pStyle w:val="TableContents"/>
              <w:bidi w:val="0"/>
              <w:spacing w:before="0" w:after="283"/>
              <w:jc w:val="left"/>
              <w:rPr>
                <w:sz w:val="4"/>
                <w:szCs w:val="4"/>
              </w:rPr>
            </w:pPr>
            <w:r>
              <w:rPr>
                <w:sz w:val="4"/>
                <w:szCs w:val="4"/>
              </w:rPr>
            </w:r>
          </w:p>
        </w:tc>
      </w:tr>
      <w:tr>
        <w:trPr/>
        <w:tc>
          <w:tcPr>
            <w:tcW w:w="2293" w:type="dxa"/>
            <w:tcBorders/>
            <w:vAlign w:val="center"/>
          </w:tcPr>
          <w:p>
            <w:pPr>
              <w:pStyle w:val="TableContents"/>
              <w:bidi w:val="0"/>
              <w:spacing w:before="0" w:after="283"/>
              <w:jc w:val="left"/>
              <w:rPr/>
            </w:pPr>
            <w:r>
              <w:rPr/>
              <w:t>11</w:t>
            </w:r>
          </w:p>
        </w:tc>
        <w:tc>
          <w:tcPr>
            <w:tcW w:w="79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2,741,000.00</w:t>
            </w:r>
          </w:p>
        </w:tc>
      </w:tr>
      <w:tr>
        <w:trPr/>
        <w:tc>
          <w:tcPr>
            <w:tcW w:w="2293" w:type="dxa"/>
            <w:tcBorders/>
            <w:vAlign w:val="center"/>
          </w:tcPr>
          <w:p>
            <w:pPr>
              <w:pStyle w:val="TableContents"/>
              <w:bidi w:val="0"/>
              <w:spacing w:before="0" w:after="283"/>
              <w:jc w:val="left"/>
              <w:rPr/>
            </w:pPr>
            <w:r>
              <w:rPr/>
              <w:t>12</w:t>
            </w:r>
          </w:p>
        </w:tc>
        <w:tc>
          <w:tcPr>
            <w:tcW w:w="79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3" w:type="dxa"/>
            <w:tcBorders/>
            <w:vAlign w:val="center"/>
          </w:tcPr>
          <w:p>
            <w:pPr>
              <w:pStyle w:val="TableContents"/>
              <w:bidi w:val="0"/>
              <w:spacing w:before="0" w:after="283"/>
              <w:jc w:val="left"/>
              <w:rPr/>
            </w:pPr>
            <w:r>
              <w:rPr/>
              <w:t>13</w:t>
            </w:r>
          </w:p>
        </w:tc>
        <w:tc>
          <w:tcPr>
            <w:tcW w:w="79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9.0 % </w:t>
            </w:r>
          </w:p>
        </w:tc>
      </w:tr>
      <w:tr>
        <w:trPr/>
        <w:tc>
          <w:tcPr>
            <w:tcW w:w="2293" w:type="dxa"/>
            <w:tcBorders/>
            <w:vAlign w:val="center"/>
          </w:tcPr>
          <w:p>
            <w:pPr>
              <w:pStyle w:val="TableContents"/>
              <w:bidi w:val="0"/>
              <w:spacing w:before="0" w:after="283"/>
              <w:jc w:val="left"/>
              <w:rPr/>
            </w:pPr>
            <w:r>
              <w:rPr/>
              <w:t>14</w:t>
            </w:r>
          </w:p>
        </w:tc>
        <w:tc>
          <w:tcPr>
            <w:tcW w:w="79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Item 1.</w:t>
            </w:r>
          </w:p>
        </w:tc>
        <w:tc>
          <w:tcPr>
            <w:tcW w:w="9035" w:type="dxa"/>
            <w:tcBorders/>
            <w:vAlign w:val="center"/>
          </w:tcPr>
          <w:p>
            <w:pPr>
              <w:pStyle w:val="TableContents"/>
              <w:bidi w:val="0"/>
              <w:spacing w:before="0" w:after="283"/>
              <w:jc w:val="left"/>
              <w:rPr/>
            </w:pPr>
            <w:r>
              <w:rPr/>
              <w:t>Security and Issuer</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$0.0001 par value per share</w:t>
            </w:r>
          </w:p>
        </w:tc>
      </w:tr>
      <w:tr>
        <w:trPr/>
        <w:tc>
          <w:tcPr>
            <w:tcW w:w="117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jc w:val="left"/>
              <w:rPr/>
            </w:pPr>
            <w:r>
              <w:rPr/>
              <w:t xml:space="preserve">Name of Issuer: </w:t>
            </w:r>
          </w:p>
          <w:p>
            <w:pPr>
              <w:pStyle w:val="TableContents"/>
              <w:bidi w:val="0"/>
              <w:spacing w:before="0" w:after="0"/>
              <w:jc w:val="left"/>
              <w:rPr/>
            </w:pPr>
            <w:r>
              <w:rPr/>
              <w:t>MoneyHero Ltd</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 SHENTON WAY, #18-15, SINGAPORE, SINGAPORE , 079118.</w:t>
            </w:r>
          </w:p>
        </w:tc>
      </w:tr>
      <w:tr>
        <w:trPr/>
        <w:tc>
          <w:tcPr>
            <w:tcW w:w="1170" w:type="dxa"/>
            <w:tcBorders/>
            <w:vAlign w:val="center"/>
          </w:tcPr>
          <w:p>
            <w:pPr>
              <w:pStyle w:val="TableContents"/>
              <w:bidi w:val="0"/>
              <w:spacing w:before="0" w:after="283"/>
              <w:jc w:val="left"/>
              <w:rPr/>
            </w:pPr>
            <w:r>
              <w:rPr/>
              <w:t>Item 2.</w:t>
            </w:r>
          </w:p>
        </w:tc>
        <w:tc>
          <w:tcPr>
            <w:tcW w:w="9035" w:type="dxa"/>
            <w:tcBorders/>
            <w:vAlign w:val="center"/>
          </w:tcPr>
          <w:p>
            <w:pPr>
              <w:pStyle w:val="TableContents"/>
              <w:bidi w:val="0"/>
              <w:spacing w:before="0" w:after="283"/>
              <w:jc w:val="left"/>
              <w:rPr/>
            </w:pPr>
            <w:r>
              <w:rPr/>
              <w:t>Identity and Background</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spacing w:before="0" w:after="0"/>
              <w:jc w:val="left"/>
              <w:rPr/>
            </w:pPr>
            <w:r>
              <w:rPr/>
              <w:t>This statement is filed by: (i) Elizabeth Honig TR FBO Elizabeth Honig Lifetime Trust UA July 9, 2013, a Florida trust (the "Elizabeth Trust"), with respect to the Class A Ordinary Shares, $0.0001 par value per share, of the Issuer (the "Shares") directly and beneficially owned by it; (ii) Elizabeth Honig, as the sole trustee of the Elizabeth Trust; and (iii) Jonathan Honig, with respect to the Shares directly and beneficially owned by him. Mr. Honig is the spouse of Ms. Honig.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tc>
      </w:tr>
      <w:tr>
        <w:trPr/>
        <w:tc>
          <w:tcPr>
            <w:tcW w:w="117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spacing w:before="0" w:after="0"/>
              <w:jc w:val="left"/>
              <w:rPr/>
            </w:pPr>
            <w:r>
              <w:rPr/>
              <w:t>The principal business address of each of the Reporting Persons is 5825 Windsor Court, Boca Raton, Florida 33496.</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spacing w:before="0" w:after="0"/>
              <w:jc w:val="left"/>
              <w:rPr/>
            </w:pPr>
            <w:r>
              <w:rPr/>
              <w:t>The principal business of the Elizabeth Trust is to hold investments for estate planning purposes. Ms. Honig serves as the sole trustee of the Elizabeth Trust. Mr. Honig is a private investor.</w:t>
            </w:r>
          </w:p>
        </w:tc>
      </w:tr>
      <w:tr>
        <w:trPr/>
        <w:tc>
          <w:tcPr>
            <w:tcW w:w="1170" w:type="dxa"/>
            <w:tcBorders/>
            <w:vAlign w:val="center"/>
          </w:tcPr>
          <w:p>
            <w:pPr>
              <w:pStyle w:val="TableContents"/>
              <w:bidi w:val="0"/>
              <w:spacing w:before="0" w:after="283"/>
              <w:jc w:val="left"/>
              <w:rPr/>
            </w:pPr>
            <w:r>
              <w:rPr/>
              <w:t>(d)</w:t>
            </w:r>
          </w:p>
        </w:tc>
        <w:tc>
          <w:tcPr>
            <w:tcW w:w="9035"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r>
      <w:tr>
        <w:trPr/>
        <w:tc>
          <w:tcPr>
            <w:tcW w:w="1170" w:type="dxa"/>
            <w:tcBorders/>
            <w:vAlign w:val="center"/>
          </w:tcPr>
          <w:p>
            <w:pPr>
              <w:pStyle w:val="TableContents"/>
              <w:bidi w:val="0"/>
              <w:spacing w:before="0" w:after="283"/>
              <w:jc w:val="left"/>
              <w:rPr/>
            </w:pPr>
            <w:r>
              <w:rPr/>
              <w:t>(e)</w:t>
            </w:r>
          </w:p>
        </w:tc>
        <w:tc>
          <w:tcPr>
            <w:tcW w:w="9035"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0" w:type="dxa"/>
            <w:tcBorders/>
            <w:vAlign w:val="center"/>
          </w:tcPr>
          <w:p>
            <w:pPr>
              <w:pStyle w:val="TableContents"/>
              <w:bidi w:val="0"/>
              <w:spacing w:before="0" w:after="283"/>
              <w:jc w:val="left"/>
              <w:rPr/>
            </w:pPr>
            <w:r>
              <w:rPr/>
              <w:t>(f)</w:t>
            </w:r>
          </w:p>
        </w:tc>
        <w:tc>
          <w:tcPr>
            <w:tcW w:w="9035" w:type="dxa"/>
            <w:tcBorders/>
            <w:vAlign w:val="center"/>
          </w:tcPr>
          <w:p>
            <w:pPr>
              <w:pStyle w:val="TableContents"/>
              <w:bidi w:val="0"/>
              <w:spacing w:before="0" w:after="0"/>
              <w:jc w:val="left"/>
              <w:rPr/>
            </w:pPr>
            <w:r>
              <w:rPr/>
              <w:t>The Elizabeth Trust is organized under the laws of the State of Florida. Ms. Honig and Mr. Honig are citizens of the United States of America.</w:t>
            </w:r>
          </w:p>
        </w:tc>
      </w:tr>
      <w:tr>
        <w:trPr/>
        <w:tc>
          <w:tcPr>
            <w:tcW w:w="1170" w:type="dxa"/>
            <w:tcBorders/>
            <w:vAlign w:val="center"/>
          </w:tcPr>
          <w:p>
            <w:pPr>
              <w:pStyle w:val="TableContents"/>
              <w:bidi w:val="0"/>
              <w:spacing w:before="0" w:after="283"/>
              <w:jc w:val="left"/>
              <w:rPr/>
            </w:pPr>
            <w:r>
              <w:rPr/>
              <w:t>Item 3.</w:t>
            </w:r>
          </w:p>
        </w:tc>
        <w:tc>
          <w:tcPr>
            <w:tcW w:w="9035" w:type="dxa"/>
            <w:tcBorders/>
            <w:vAlign w:val="center"/>
          </w:tcPr>
          <w:p>
            <w:pPr>
              <w:pStyle w:val="TableContents"/>
              <w:bidi w:val="0"/>
              <w:spacing w:before="0" w:after="283"/>
              <w:jc w:val="left"/>
              <w:rPr/>
            </w:pPr>
            <w:r>
              <w:rPr/>
              <w:t>Source and Amount of Funds or Other Consideration</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The Shares purchased by the Elizabeth Trust were purchased with working capital (which may, at any given time, include margin loans made by brokerage firms in the ordinary course of business). The aggregate purchase price of the 635,000 Shares directly owned by the Elizabeth Trust is approximately $926,697, excluding brokerage commissions. The Shares directly owned by Mr. Honig were purchased with personal funds (which may, at any given time, include margin loans made by brokerage firms in the ordinary course of business). The aggregate purchase price of the 2,106,000 Shares directly owned by Mr. Honig is approximately $3,230,451, excluding brokerage commissions.</w:t>
            </w:r>
          </w:p>
        </w:tc>
      </w:tr>
      <w:tr>
        <w:trPr/>
        <w:tc>
          <w:tcPr>
            <w:tcW w:w="1170" w:type="dxa"/>
            <w:tcBorders/>
            <w:vAlign w:val="center"/>
          </w:tcPr>
          <w:p>
            <w:pPr>
              <w:pStyle w:val="TableContents"/>
              <w:bidi w:val="0"/>
              <w:spacing w:before="0" w:after="283"/>
              <w:jc w:val="left"/>
              <w:rPr/>
            </w:pPr>
            <w:r>
              <w:rPr/>
              <w:t>Item 4.</w:t>
            </w:r>
          </w:p>
        </w:tc>
        <w:tc>
          <w:tcPr>
            <w:tcW w:w="9035" w:type="dxa"/>
            <w:tcBorders/>
            <w:vAlign w:val="center"/>
          </w:tcPr>
          <w:p>
            <w:pPr>
              <w:pStyle w:val="TableContents"/>
              <w:bidi w:val="0"/>
              <w:spacing w:before="0" w:after="283"/>
              <w:jc w:val="left"/>
              <w:rPr/>
            </w:pPr>
            <w:r>
              <w:rPr/>
              <w:t>Purpose of Transaction</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On September 29, 2026, Mr. Honig issued a public letter to the Board of Directors of the Issuer (the "Board") expressing his view that the Board should take immediate steps to explore a sale of the Issuer. In reaching such conclusion, Mr. Honig raised his concerns with several developments at the Issuer, including leadership uncertainty, stalled growth, significant shareholder value destruction and a lack of confidence exhibited by insiders. In the letter, Mr. Honig requested that the Board retain an independent financial advisor and initiate a process to explore a sale of the Issuer, together with any other strategic alternatives that may be available to maximize shareholder value. Mr. Honig also requested for the Board to provide shareholders with meaningful transparency regarding the CEO search process, including the expected timeline for appointing a permanent CEO. The full text of the letter is attached hereto as Exhibit 99.1 and is incorporated herein by reference. The Reporting Persons intend to engage in communications with the Issuer's Board and management team regarding opportunities to enhance shareholder value, including commencing a strategic review process and potential leadership changes. The Reporting Persons intend to discuss their views with respect to the foregoing matters with the Issuer, its shareholders and other market participants.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additional communications with management and the Board, engaging in discussions with shareholders of the Issuer or third parties, including potential acquirers, about the Issuer and the Reporting Persons' investment, making proposals to the Issuer concerning changes to the capitalization, ownership structure, including a sale of the Issuer as a whole or in parts,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tc>
      </w:tr>
      <w:tr>
        <w:trPr/>
        <w:tc>
          <w:tcPr>
            <w:tcW w:w="1170" w:type="dxa"/>
            <w:tcBorders/>
            <w:vAlign w:val="center"/>
          </w:tcPr>
          <w:p>
            <w:pPr>
              <w:pStyle w:val="TableContents"/>
              <w:bidi w:val="0"/>
              <w:spacing w:before="0" w:after="283"/>
              <w:jc w:val="left"/>
              <w:rPr/>
            </w:pPr>
            <w:r>
              <w:rPr/>
              <w:t>Item 5.</w:t>
            </w:r>
          </w:p>
        </w:tc>
        <w:tc>
          <w:tcPr>
            <w:tcW w:w="9035" w:type="dxa"/>
            <w:tcBorders/>
            <w:vAlign w:val="center"/>
          </w:tcPr>
          <w:p>
            <w:pPr>
              <w:pStyle w:val="TableContents"/>
              <w:bidi w:val="0"/>
              <w:spacing w:before="0" w:after="283"/>
              <w:jc w:val="left"/>
              <w:rPr/>
            </w:pPr>
            <w:r>
              <w:rPr/>
              <w:t>Interest in Securities of the Issuer</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spacing w:before="0" w:after="0"/>
              <w:jc w:val="left"/>
              <w:rPr/>
            </w:pPr>
            <w:r>
              <w:rPr/>
              <w:t>The aggregate percentage of Shares reported owned by each person named herein is based on 30,572,252 Shares outstanding as of December 31, 2025, which is the total number of Shares outstanding as disclosed in the Issuer's Amended Annual Report on Form 20-F/A filed with the Securities and Exchange Commission on May 27, 2026. As of the date hereof, the Elizabeth Trust directly beneficially owned 635,000 Shares, constituting approximately 2.1% of the Shares outstanding. Ms. Honig, as the sole trustee of the Elizabeth Trust, may be deemed to beneficially own the 635,000 Shares beneficially owned directly by the Elizabeth Trust, constituting approximately 2.1% of the Shares outstanding. As of the date hereof, Mr. Honig directly beneficially owned 2,106,000 Shares, constituting approximately 6.9% of the Shares outstanding. Mr. Honig, as Ms. Honig's spouse and pursuant to an understanding between Mr. and Ms. Honig whereby they share voting and dispositive power over the securities held by the Elizabeth Trust, may be deemed to beneficially own the 635,000 Shares beneficially owned directly by the Elizabeth Trust, which, together with the 2,106,000 Shares he directly owns, constitutes an aggregate of 2,741,000 Shares beneficially owned by Mr. Honig, constituting approximately 9.0% of the Shares outstanding. Each Reporting Person may be deemed to be a member of a "group" with the other Reporting Persons for the purposes of Section 13(d)(3) of the Securities Exchange Act of 1934, as amended, and such group may be deemed to beneficially own the 2,741,000 Shares owned in the aggregate by all of the Reporting Persons, constituting approximately 9.0% of the Shares outstanding. Each Reporting Person disclaims beneficial ownership of the Shares that he, she or it does not directly own.</w:t>
            </w:r>
          </w:p>
        </w:tc>
      </w:tr>
      <w:tr>
        <w:trPr/>
        <w:tc>
          <w:tcPr>
            <w:tcW w:w="117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spacing w:before="0" w:after="0"/>
              <w:jc w:val="left"/>
              <w:rPr/>
            </w:pPr>
            <w:r>
              <w:rPr/>
              <w:t>Each of the Elizabeth Trust, Ms. Honig and Mr. Honig may be deemed to share the power to vote and dispose of the Shares directly beneficially owned by the Elizabeth Trust. Mr. Honig has the sole power to vote and dispose of the Shares directly beneficially owned by him.</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spacing w:before="0" w:after="0"/>
              <w:jc w:val="left"/>
              <w:rPr/>
            </w:pPr>
            <w:r>
              <w:rPr/>
              <w:t>The Reporting Persons have not entered into any transactions in the securities of the Issuer during the past sixty days.</w:t>
            </w:r>
          </w:p>
        </w:tc>
      </w:tr>
      <w:tr>
        <w:trPr/>
        <w:tc>
          <w:tcPr>
            <w:tcW w:w="1170" w:type="dxa"/>
            <w:tcBorders/>
            <w:vAlign w:val="center"/>
          </w:tcPr>
          <w:p>
            <w:pPr>
              <w:pStyle w:val="TableContents"/>
              <w:bidi w:val="0"/>
              <w:spacing w:before="0" w:after="283"/>
              <w:jc w:val="left"/>
              <w:rPr/>
            </w:pPr>
            <w:r>
              <w:rPr/>
              <w:t>(d)</w:t>
            </w:r>
          </w:p>
        </w:tc>
        <w:tc>
          <w:tcPr>
            <w:tcW w:w="9035"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70" w:type="dxa"/>
            <w:tcBorders/>
            <w:vAlign w:val="center"/>
          </w:tcPr>
          <w:p>
            <w:pPr>
              <w:pStyle w:val="TableContents"/>
              <w:bidi w:val="0"/>
              <w:spacing w:before="0" w:after="283"/>
              <w:jc w:val="left"/>
              <w:rPr/>
            </w:pPr>
            <w:r>
              <w:rPr/>
              <w:t>(e)</w:t>
            </w:r>
          </w:p>
        </w:tc>
        <w:tc>
          <w:tcPr>
            <w:tcW w:w="9035" w:type="dxa"/>
            <w:tcBorders/>
            <w:vAlign w:val="center"/>
          </w:tcPr>
          <w:p>
            <w:pPr>
              <w:pStyle w:val="TableContents"/>
              <w:bidi w:val="0"/>
              <w:spacing w:before="0" w:after="0"/>
              <w:jc w:val="left"/>
              <w:rPr/>
            </w:pPr>
            <w:r>
              <w:rPr/>
              <w:t>Not applicable.</w:t>
            </w:r>
          </w:p>
        </w:tc>
      </w:tr>
      <w:tr>
        <w:trPr/>
        <w:tc>
          <w:tcPr>
            <w:tcW w:w="1170" w:type="dxa"/>
            <w:tcBorders/>
            <w:vAlign w:val="center"/>
          </w:tcPr>
          <w:p>
            <w:pPr>
              <w:pStyle w:val="TableContents"/>
              <w:bidi w:val="0"/>
              <w:spacing w:before="0" w:after="283"/>
              <w:jc w:val="left"/>
              <w:rPr/>
            </w:pPr>
            <w:r>
              <w:rPr/>
              <w:t>Item 6.</w:t>
            </w:r>
          </w:p>
        </w:tc>
        <w:tc>
          <w:tcPr>
            <w:tcW w:w="9035"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On September 29, 2026, the Reporting Persons entered into a Joint Filing Agreement pursuant to which the Reporting Persons agreed to the joint filing on behalf of each of them of statements on Schedule 13D with respect to the securities of the Issuer to the extent required by applicable law. The Joint Filing Agreement is attached hereto as Exhibit 99.2 and is incorporated herein by reference. Other than as described herein, there are no contracts, arrangements, understandings or relationships among the Reporting Persons, or between the Reporting Persons and any other person, with respect to the securities of the Issuer.</w:t>
            </w:r>
          </w:p>
        </w:tc>
      </w:tr>
      <w:tr>
        <w:trPr/>
        <w:tc>
          <w:tcPr>
            <w:tcW w:w="1170" w:type="dxa"/>
            <w:tcBorders/>
            <w:vAlign w:val="center"/>
          </w:tcPr>
          <w:p>
            <w:pPr>
              <w:pStyle w:val="TableContents"/>
              <w:bidi w:val="0"/>
              <w:spacing w:before="0" w:after="283"/>
              <w:jc w:val="left"/>
              <w:rPr/>
            </w:pPr>
            <w:r>
              <w:rPr/>
              <w:t>Item 7.</w:t>
            </w:r>
          </w:p>
        </w:tc>
        <w:tc>
          <w:tcPr>
            <w:tcW w:w="9035" w:type="dxa"/>
            <w:tcBorders/>
            <w:vAlign w:val="center"/>
          </w:tcPr>
          <w:p>
            <w:pPr>
              <w:pStyle w:val="TableContents"/>
              <w:bidi w:val="0"/>
              <w:spacing w:before="0" w:after="283"/>
              <w:jc w:val="left"/>
              <w:rPr/>
            </w:pPr>
            <w:r>
              <w:rPr/>
              <w:t>Material to be Filed as Exhibits.</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99.1 - Letter to the Board, dated September 29, 2026. 99.2 - Joint Filing Agreement, dated September 29,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0"/>
              <w:jc w:val="left"/>
              <w:rPr/>
            </w:pPr>
            <w:r>
              <w:rPr/>
              <w:t> </w:t>
            </w:r>
          </w:p>
          <w:tbl>
            <w:tblPr>
              <w:tblW w:w="7291" w:type="dxa"/>
              <w:jc w:val="left"/>
              <w:tblInd w:w="0" w:type="dxa"/>
              <w:tblLayout w:type="fixed"/>
              <w:tblCellMar>
                <w:top w:w="28" w:type="dxa"/>
                <w:left w:w="28" w:type="dxa"/>
                <w:bottom w:w="28" w:type="dxa"/>
                <w:right w:w="28" w:type="dxa"/>
              </w:tblCellMar>
            </w:tblPr>
            <w:tblGrid>
              <w:gridCol w:w="7291"/>
            </w:tblGrid>
            <w:tr>
              <w:trPr/>
              <w:tc>
                <w:tcPr>
                  <w:tcW w:w="7291" w:type="dxa"/>
                  <w:tcBorders/>
                  <w:vAlign w:val="center"/>
                </w:tcPr>
                <w:p>
                  <w:pPr>
                    <w:pStyle w:val="TableContents"/>
                    <w:bidi w:val="0"/>
                    <w:spacing w:before="0" w:after="0"/>
                    <w:jc w:val="left"/>
                    <w:rPr/>
                  </w:pPr>
                  <w:r>
                    <w:rPr/>
                    <w:t>Elizabeth Honig TR FBO Elizabeth Honig Lifetime Trust UA July 9, 2013</w:t>
                  </w:r>
                </w:p>
              </w:tc>
            </w:tr>
          </w:tbl>
          <w:p>
            <w:pPr>
              <w:pStyle w:val="TableContents"/>
              <w:bidi w:val="0"/>
              <w:spacing w:before="0" w:after="283"/>
              <w:jc w:val="left"/>
              <w:rPr/>
            </w:pPr>
            <w:r>
              <w:rPr/>
            </w:r>
          </w:p>
        </w:tc>
        <w:tc>
          <w:tcPr>
            <w:tcW w:w="49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Elizabeth Honig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Elizabeth Honig, Sole Trustee</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Elizabeth Honig</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Elizabeth Honig</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Elizabeth Honig</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HONIG JONATHAN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2"/>
        <w:gridCol w:w="4383"/>
      </w:tblGrid>
      <w:tr>
        <w:trPr/>
        <w:tc>
          <w:tcPr>
            <w:tcW w:w="58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Jonathan Honig</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Jonathan Honig</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right"/>
        <w:rPr>
          <w:rFonts w:ascii="Times New Roman;Times;Serif" w:hAnsi="Times New Roman;Times;Serif"/>
          <w:b w:val="false"/>
          <w:i w:val="false"/>
          <w:caps w:val="false"/>
          <w:smallCaps w:val="false"/>
          <w:sz w:val="20"/>
        </w:rPr>
      </w:pPr>
      <w:bookmarkStart w:id="22" w:name="ex991sc13d14946002_09282026.htm"/>
      <w:bookmarkStart w:id="23" w:name="ksex991sc13d14946002_09282026"/>
      <w:bookmarkEnd w:id="22"/>
      <w:bookmarkEnd w:id="23"/>
      <w:r>
        <w:rPr>
          <w:rFonts w:ascii="Times New Roman;Times;Serif" w:hAnsi="Times New Roman;Times;Serif"/>
          <w:b w:val="false"/>
          <w:i w:val="false"/>
          <w:caps w:val="false"/>
          <w:smallCaps w:val="false"/>
          <w:sz w:val="20"/>
        </w:rPr>
        <w:t>Exhibit 99.1</w:t>
      </w:r>
      <w:r>
        <w:br w:type="page"/>
      </w:r>
    </w:p>
    <w:p>
      <w:pPr>
        <w:pStyle w:val="TextBody"/>
        <w:bidi w:val="0"/>
        <w:spacing w:before="0" w:after="16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Jonathan Honig Issues Open Letter to the Board of MoneyHero Limited</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the Board to Immediately Retain an Independent Financial Advisor and Initiate a Strategic Review Process to Explore a Sale of the Company</w:t>
      </w:r>
    </w:p>
    <w:p>
      <w:pPr>
        <w:pStyle w:val="TextBody"/>
        <w:bidi w:val="0"/>
        <w:jc w:val="center"/>
        <w:rPr>
          <w:caps w:val="false"/>
          <w:smallCaps w:val="false"/>
        </w:rPr>
      </w:pPr>
      <w:r>
        <w:rPr>
          <w:caps w:val="false"/>
          <w:smallCaps w:val="false"/>
        </w:rPr>
        <w:t> </w:t>
      </w:r>
    </w:p>
    <w:p>
      <w:pPr>
        <w:pStyle w:val="TextBody"/>
        <w:bidi w:val="0"/>
        <w:spacing w:before="0" w:after="1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Highlights Concerns with Leadership Uncertainty, Stalled Growth, Significant Shareholder Value Destruction and Lack of Insider Confidence </w:t>
      </w:r>
    </w:p>
    <w:p>
      <w:pPr>
        <w:pStyle w:val="TextBody"/>
        <w:bidi w:val="0"/>
        <w:spacing w:lineRule="auto" w:line="256"/>
        <w:jc w:val="left"/>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BOCA RATON, FLORIDA, September 29, 2026 -- Jonathan Honig, the largest unaffiliated shareholder of MoneyHero Limited (NASDAQ: MNY) (the “Company”) with beneficial ownership of approximately 9.0% of the Company’s outstanding Class A Ordinary Shares, today issued an open letter to the Company’s Board of Directors (the “Board”) urging the Board to immediately explore strategic alternatives, including a potential sale of the Company.</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before="0" w:after="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letter follows.</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2026</w:t>
      </w:r>
    </w:p>
    <w:p>
      <w:pPr>
        <w:pStyle w:val="TextBody"/>
        <w:bidi w:val="0"/>
        <w:jc w:val="righ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w:t>
        <w:br/>
        <w:t>70 Shenton Way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 EON Shenton, S079118, Singapore</w:t>
        <w:br/>
        <w:t>Attention: Board of Directors</w:t>
      </w:r>
    </w:p>
    <w:p>
      <w:pPr>
        <w:pStyle w:val="TextBody"/>
        <w:bidi w:val="0"/>
        <w:spacing w:lineRule="auto" w:line="256"/>
        <w:jc w:val="left"/>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Board,</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you should be aware, I am the largest unaffiliated shareholder of MoneyHero Limited (the “Company”) with beneficial ownership of approximately 9.0% of the Company’s outstanding Class A Ordinary Shares. I originally invested in the Company because I believed in the potential of its platform and was encouraged by its backing from prominent investors, including Peter Thiel, co-founder of PayPal and Palantir Technologies, and Richard Li, founder and chairman of Pacific Century Group. With backers of that caliber, I expected the Company would be governed and managed with the discipline and urgency that shareholders deserve. Unfortunately, that has not been the case. As a long-term and committed shareholder of the Company, I have supported management and the Board of Directors (the “Board”) in their efforts to drive a profitable enterprise; however, I am writing today because I have become increasingly concerned by several developments, which has led me to believe that </w:t>
      </w:r>
      <w:r>
        <w:rPr>
          <w:rFonts w:ascii="Times New Roman;Times;Serif" w:hAnsi="Times New Roman;Times;Serif"/>
          <w:b/>
          <w:i w:val="false"/>
          <w:caps w:val="false"/>
          <w:smallCaps w:val="false"/>
          <w:sz w:val="20"/>
          <w:u w:val="single"/>
        </w:rPr>
        <w:t>the Board should immediately initiate a strategic review process to explore a sale of the Company</w:t>
      </w:r>
      <w:r>
        <w:rPr>
          <w:rFonts w:ascii="Times New Roman;Times;Serif" w:hAnsi="Times New Roman;Times;Serif"/>
          <w:b w:val="false"/>
          <w:i w:val="false"/>
          <w:caps w:val="false"/>
          <w:smallCaps w:val="false"/>
          <w:sz w:val="20"/>
        </w:rPr>
        <w:t>.</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Leadership Uncertainty</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 announced that Rohith Murthy’s tenure as Chief Executive Officer had concluded and that Chief Financial Officer Danny Leung would serve as Interim CEO.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of the date of this letter, nearly six months have passed and the Company still has not appointed a permanent Chief Executive Officer. Mr. Murthy subsequently resigned from the Board entirely, effective May 26, 2026,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the circumstances surrounding his departure remain unexplained to shareholders. The Company cannot afford to operate indefinitely under interim leadership, particularly given the competitive dynamics of the markets in which it operates. A business of this nature requires a permanent CEO with a clear mandate and the confidence of shareholders.</w:t>
      </w:r>
    </w:p>
    <w:p>
      <w:pPr>
        <w:pStyle w:val="TextBody"/>
        <w:bidi w:val="0"/>
        <w:spacing w:lineRule="auto" w:line="256"/>
        <w:jc w:val="both"/>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Company Form 6-K filed with the SEC on April 2, 2026.</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Company Form 6-K filed with the SEC on May 29, 2026, reporting that the Board accepted Mr. Murthy's resignation as a Director effective May 26,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lineRule="auto" w:line="256"/>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Stalled Growth</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revenue has declined in each of the last two fiscal years, falling from US$80.7 million in FY2023 to US$73.4 million in FY2025,</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despite management's stated expectation in April 2025 that the Company would reach US$100 million in revenue.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While the Company reported its first profitable quarter in Q4 2025, the full year still produced a net loss.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The gap between management's commitments and actual results speaks for itself.</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Significant Shareholder Value Destruction</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recent closing price of the Company's shares was US$0.675, down more than 88% from when it opened as a publicly traded company in October 2023.</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This is not a case of modest underperformance, it represents a near-total destruction of shareholder value. Clearly the status quo is unacceptable and the current Board has demonstrated an inability to deliver value for shareholders. I believe a sale represents the best risk adjusted path forward for shareholders to stem the tide of losses and halt further value destruction.</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Lack of Insider Confidence</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review of the Company's public filings with the SEC, no director or executive officer of the Company appears to have purchased any shares of the Company on the open market. When insiders are unwilling to buy shares alongside the shareholders they serve, it does little to inspire confidence that the Board and management believe in the current strategy.</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Path Forward</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facts, I believe the best course of action to maximize value for all shareholders is for the Board to:</w:t>
      </w:r>
    </w:p>
    <w:p>
      <w:pPr>
        <w:pStyle w:val="TextBody"/>
        <w:bidi w:val="0"/>
        <w:spacing w:lineRule="auto" w:line="25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1.</w:t>
            </w:r>
          </w:p>
        </w:tc>
        <w:tc>
          <w:tcPr>
            <w:tcW w:w="9995" w:type="dxa"/>
            <w:tcBorders/>
            <w:vAlign w:val="center"/>
          </w:tcPr>
          <w:p>
            <w:pPr>
              <w:pStyle w:val="TableContents"/>
              <w:bidi w:val="0"/>
              <w:spacing w:before="0" w:after="283"/>
              <w:jc w:val="both"/>
              <w:rPr/>
            </w:pPr>
            <w:r>
              <w:rPr/>
              <w:t>Retain an independent financial advisor and initiate a comprehensive strategic review process to evaluate a sale of the Company, alongside any credible strategic alternatives; and</w:t>
            </w:r>
          </w:p>
        </w:tc>
      </w:tr>
    </w:tbl>
    <w:p>
      <w:pPr>
        <w:pStyle w:val="TextBody"/>
        <w:bidi w:val="0"/>
        <w:spacing w:lineRule="auto" w:line="25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993" w:type="dxa"/>
            <w:tcBorders/>
            <w:vAlign w:val="center"/>
          </w:tcPr>
          <w:p>
            <w:pPr>
              <w:pStyle w:val="TableContents"/>
              <w:bidi w:val="0"/>
              <w:spacing w:before="0" w:after="283"/>
              <w:jc w:val="both"/>
              <w:rPr/>
            </w:pPr>
            <w:r>
              <w:rPr/>
              <w:t>Provide shareholders with meaningful transparency regarding the CEO search process, including the expected timeline for appointing a permanent Chief Executive Officer.</w:t>
            </w:r>
          </w:p>
        </w:tc>
      </w:tr>
    </w:tbl>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firmly believe that there are numerous parties that would be interested in acquiring the Company should the Board launch a credible strategic review process, and that the Company is worth at least US$1.50 per share in a transaction.</w:t>
      </w:r>
    </w:p>
    <w:p>
      <w:pPr>
        <w:pStyle w:val="TextBody"/>
        <w:bidi w:val="0"/>
        <w:spacing w:lineRule="auto" w:line="256"/>
        <w:jc w:val="both"/>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Company Q4 and Full Year 2024 Earnings Release, filed as Exhibit 99.1 to Form 6-K on April 29, 2025, and Q4 and Full Year 2025 Earnings Release, filed as Exhibit 99.1 to Form 6-K on April 30, 2026.</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Company Q4 and Full Year 2024 Earnings Release (April 29, 2025). Then-CEO Rohith Murthy stated the Company was “confident in our ability to build upon this momentum and regain topline growth momentum with US$100 million in revenue and generate positive adjusted EBITDA on a quarterly basis in the second half of 2025.”</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Company Q4 and Full Year 2025 Earnings Release (April 30, 2026).</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Yahoo! Finance. Calculated from opening on October 13, 2023 to market close on September 28,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lineRule="auto" w:line="2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look forward to discussing these important matters further and would appreciate the opportunity to speak with the Board (or a subset thereof) in the near future. To that end, I respectfully request a response no later than the close of business on Monday, </w:t>
      </w:r>
      <w:r>
        <w:rPr>
          <w:rFonts w:ascii="Times New Roman;Times;Serif" w:hAnsi="Times New Roman;Times;Serif"/>
          <w:b/>
          <w:i w:val="false"/>
          <w:caps w:val="false"/>
          <w:smallCaps w:val="false"/>
          <w:sz w:val="20"/>
        </w:rPr>
        <w:t>October 5, 2026</w:t>
      </w:r>
      <w:r>
        <w:rPr>
          <w:rFonts w:ascii="Times New Roman;Times;Serif" w:hAnsi="Times New Roman;Times;Serif"/>
          <w:b w:val="false"/>
          <w:i w:val="false"/>
          <w:caps w:val="false"/>
          <w:smallCaps w:val="false"/>
          <w:sz w:val="20"/>
        </w:rPr>
        <w:t xml:space="preserve"> regarding the Board’s willingness and availability to engage in such a discussion.</w:t>
      </w:r>
    </w:p>
    <w:p>
      <w:pPr>
        <w:pStyle w:val="TextBody"/>
        <w:bidi w:val="0"/>
        <w:spacing w:lineRule="auto" w:line="256"/>
        <w:jc w:val="both"/>
        <w:rPr>
          <w:caps w:val="false"/>
          <w:smallCaps w:val="false"/>
        </w:rPr>
      </w:pPr>
      <w:r>
        <w:rPr>
          <w:caps w:val="false"/>
          <w:smallCaps w:val="false"/>
        </w:rPr>
        <w:t> </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lineRule="auto" w:line="256"/>
        <w:jc w:val="left"/>
        <w:rPr>
          <w:caps w:val="false"/>
          <w:smallCaps w:val="false"/>
        </w:rPr>
      </w:pPr>
      <w:r>
        <w:rPr>
          <w:caps w:val="false"/>
          <w:smallCaps w:val="false"/>
        </w:rPr>
        <w:t> </w:t>
      </w:r>
    </w:p>
    <w:p>
      <w:pPr>
        <w:pStyle w:val="TextBody"/>
        <w:bidi w:val="0"/>
        <w:spacing w:lineRule="auto" w:line="256"/>
        <w:jc w:val="left"/>
        <w:rPr>
          <w:caps w:val="false"/>
          <w:smallCaps w:val="false"/>
        </w:rPr>
      </w:pPr>
      <w:r>
        <w:rPr>
          <w:caps w:val="false"/>
          <w:smallCaps w:val="false"/>
        </w:rPr>
        <w:t> </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Honig</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Honig</w:t>
      </w:r>
    </w:p>
    <w:p>
      <w:pPr>
        <w:pStyle w:val="TextBody"/>
        <w:bidi w:val="0"/>
        <w:spacing w:lineRule="auto" w:line="2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561-445-3665</w:t>
      </w:r>
    </w:p>
    <w:p>
      <w:pPr>
        <w:pStyle w:val="TextBody"/>
        <w:bidi w:val="0"/>
        <w:spacing w:lineRule="auto" w:line="256"/>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0"/>
        </w:rPr>
      </w:pPr>
      <w:bookmarkStart w:id="24" w:name="ex992sc13d14946002_09282026.htm"/>
      <w:bookmarkStart w:id="25" w:name="ksex992sc13d14946002_09282026"/>
      <w:bookmarkEnd w:id="24"/>
      <w:bookmarkEnd w:id="25"/>
      <w:r>
        <w:rPr>
          <w:rFonts w:ascii="Times New Roman;Times;Serif" w:hAnsi="Times New Roman;Times;Serif"/>
          <w:b w:val="false"/>
          <w:i w:val="false"/>
          <w:caps w:val="false"/>
          <w:smallCaps w:val="false"/>
          <w:sz w:val="20"/>
        </w:rPr>
        <w:t>Exhibit 99.2</w:t>
      </w:r>
      <w:r>
        <w:br w:type="page"/>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a Statement on Schedule 13D (including amendments thereto) with respect to the Class A Ordinary Shares, $0.0001 par value per share, of MoneyHero Limited. This Joint Filing Agreement shall be filed as an Exhibit to such Statement.</w:t>
      </w:r>
    </w:p>
    <w:tbl>
      <w:tblPr>
        <w:tblW w:w="6049" w:type="dxa"/>
        <w:jc w:val="left"/>
        <w:tblInd w:w="0" w:type="dxa"/>
        <w:tblLayout w:type="fixed"/>
        <w:tblCellMar>
          <w:top w:w="0" w:type="dxa"/>
          <w:left w:w="0" w:type="dxa"/>
          <w:bottom w:w="0" w:type="dxa"/>
          <w:right w:w="0" w:type="dxa"/>
        </w:tblCellMar>
      </w:tblPr>
      <w:tblGrid>
        <w:gridCol w:w="1328"/>
        <w:gridCol w:w="4509"/>
        <w:gridCol w:w="212"/>
      </w:tblGrid>
      <w:tr>
        <w:trPr/>
        <w:tc>
          <w:tcPr>
            <w:tcW w:w="604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Honig TR FBO Elizabeth Honig Lifetime Trust UA July 9, 2013</w:t>
            </w:r>
          </w:p>
        </w:tc>
      </w:tr>
      <w:tr>
        <w:trPr/>
        <w:tc>
          <w:tcPr>
            <w:tcW w:w="604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3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9"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Elizabeth Honig</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8" w:type="dxa"/>
            <w:tcBorders/>
            <w:vAlign w:val="center"/>
          </w:tcPr>
          <w:p>
            <w:pPr>
              <w:pStyle w:val="TableContents"/>
              <w:bidi w:val="0"/>
              <w:spacing w:before="0" w:after="283"/>
              <w:jc w:val="left"/>
              <w:rPr>
                <w:caps w:val="false"/>
                <w:smallCaps w:val="false"/>
              </w:rPr>
            </w:pPr>
            <w:r>
              <w:rPr>
                <w:caps w:val="false"/>
                <w:smallCaps w:val="false"/>
              </w:rPr>
              <w:t> </w:t>
            </w:r>
          </w:p>
        </w:tc>
        <w:tc>
          <w:tcPr>
            <w:tcW w:w="472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Elizabeth Honig, Sole Trustee </w:t>
            </w:r>
          </w:p>
        </w:tc>
      </w:tr>
      <w:tr>
        <w:trPr/>
        <w:tc>
          <w:tcPr>
            <w:tcW w:w="13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4721"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09/29/2026</w:t>
            </w:r>
          </w:p>
        </w:tc>
      </w:tr>
    </w:tbl>
    <w:p>
      <w:pPr>
        <w:pStyle w:val="TextBody"/>
        <w:bidi w:val="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545"/>
        <w:gridCol w:w="1595"/>
        <w:gridCol w:w="75"/>
      </w:tblGrid>
      <w:tr>
        <w:trPr/>
        <w:tc>
          <w:tcPr>
            <w:tcW w:w="2215" w:type="dxa"/>
            <w:gridSpan w:val="3"/>
            <w:tcBorders/>
            <w:vAlign w:val="center"/>
          </w:tcPr>
          <w:p>
            <w:pPr>
              <w:pStyle w:val="TableContents"/>
              <w:bidi w:val="0"/>
              <w:spacing w:before="0" w:after="283"/>
              <w:jc w:val="left"/>
              <w:rPr/>
            </w:pPr>
            <w:r>
              <w:rPr/>
              <w:t>Elizabeth Honig</w:t>
            </w:r>
          </w:p>
        </w:tc>
      </w:tr>
      <w:tr>
        <w:trPr/>
        <w:tc>
          <w:tcPr>
            <w:tcW w:w="2215"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595"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Elizabeth Honig</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xml:space="preserve">Elizabeth Honig </w:t>
            </w:r>
          </w:p>
        </w:tc>
      </w:tr>
      <w:tr>
        <w:trPr/>
        <w:tc>
          <w:tcPr>
            <w:tcW w:w="545" w:type="dxa"/>
            <w:tcBorders/>
            <w:vAlign w:val="center"/>
          </w:tcPr>
          <w:p>
            <w:pPr>
              <w:pStyle w:val="TableContents"/>
              <w:bidi w:val="0"/>
              <w:spacing w:before="0" w:after="283"/>
              <w:jc w:val="left"/>
              <w:rPr/>
            </w:pPr>
            <w:r>
              <w:rPr/>
              <w:t>Date:</w:t>
            </w:r>
          </w:p>
        </w:tc>
        <w:tc>
          <w:tcPr>
            <w:tcW w:w="1670" w:type="dxa"/>
            <w:gridSpan w:val="2"/>
            <w:tcBorders/>
            <w:vAlign w:val="center"/>
          </w:tcPr>
          <w:p>
            <w:pPr>
              <w:pStyle w:val="TableContents"/>
              <w:bidi w:val="0"/>
              <w:spacing w:before="0" w:after="283"/>
              <w:jc w:val="left"/>
              <w:rPr/>
            </w:pPr>
            <w:r>
              <w:rPr/>
              <w:t>09/29/2026</w:t>
            </w:r>
          </w:p>
        </w:tc>
      </w:tr>
    </w:tbl>
    <w:p>
      <w:pPr>
        <w:pStyle w:val="TextBody"/>
        <w:bidi w:val="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558"/>
        <w:gridCol w:w="1589"/>
        <w:gridCol w:w="76"/>
      </w:tblGrid>
      <w:tr>
        <w:trPr/>
        <w:tc>
          <w:tcPr>
            <w:tcW w:w="2223" w:type="dxa"/>
            <w:gridSpan w:val="3"/>
            <w:tcBorders/>
            <w:vAlign w:val="center"/>
          </w:tcPr>
          <w:p>
            <w:pPr>
              <w:pStyle w:val="TableContents"/>
              <w:bidi w:val="0"/>
              <w:spacing w:before="0" w:after="283"/>
              <w:jc w:val="left"/>
              <w:rPr/>
            </w:pPr>
            <w:r>
              <w:rPr/>
              <w:t>HONIG JONATHAN</w:t>
            </w:r>
          </w:p>
        </w:tc>
      </w:tr>
      <w:tr>
        <w:trPr/>
        <w:tc>
          <w:tcPr>
            <w:tcW w:w="2223" w:type="dxa"/>
            <w:gridSpan w:val="3"/>
            <w:tcBorders/>
            <w:vAlign w:val="center"/>
          </w:tcPr>
          <w:p>
            <w:pPr>
              <w:pStyle w:val="TableContents"/>
              <w:bidi w:val="0"/>
              <w:spacing w:before="0" w:after="283"/>
              <w:jc w:val="left"/>
              <w:rPr/>
            </w:pPr>
            <w:r>
              <w:rPr/>
              <w:t> </w:t>
            </w:r>
          </w:p>
        </w:tc>
      </w:tr>
      <w:tr>
        <w:trPr/>
        <w:tc>
          <w:tcPr>
            <w:tcW w:w="558" w:type="dxa"/>
            <w:tcBorders/>
            <w:vAlign w:val="center"/>
          </w:tcPr>
          <w:p>
            <w:pPr>
              <w:pStyle w:val="TableContents"/>
              <w:bidi w:val="0"/>
              <w:spacing w:before="0" w:after="283"/>
              <w:jc w:val="left"/>
              <w:rPr/>
            </w:pPr>
            <w:r>
              <w:rPr/>
              <w:t>By:</w:t>
            </w:r>
          </w:p>
        </w:tc>
        <w:tc>
          <w:tcPr>
            <w:tcW w:w="1589"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Honig</w:t>
            </w:r>
          </w:p>
        </w:tc>
        <w:tc>
          <w:tcPr>
            <w:tcW w:w="76" w:type="dxa"/>
            <w:tcBorders/>
            <w:vAlign w:val="center"/>
          </w:tcPr>
          <w:p>
            <w:pPr>
              <w:pStyle w:val="TableContents"/>
              <w:bidi w:val="0"/>
              <w:spacing w:before="0" w:after="283"/>
              <w:jc w:val="left"/>
              <w:rPr/>
            </w:pPr>
            <w:r>
              <w:rPr/>
              <w:t> </w:t>
            </w:r>
          </w:p>
        </w:tc>
      </w:tr>
      <w:tr>
        <w:trPr/>
        <w:tc>
          <w:tcPr>
            <w:tcW w:w="558" w:type="dxa"/>
            <w:tcBorders/>
            <w:vAlign w:val="center"/>
          </w:tcPr>
          <w:p>
            <w:pPr>
              <w:pStyle w:val="TableContents"/>
              <w:bidi w:val="0"/>
              <w:spacing w:before="0" w:after="283"/>
              <w:jc w:val="left"/>
              <w:rPr/>
            </w:pPr>
            <w:r>
              <w:rPr/>
              <w:t> </w:t>
            </w:r>
          </w:p>
        </w:tc>
        <w:tc>
          <w:tcPr>
            <w:tcW w:w="1665" w:type="dxa"/>
            <w:gridSpan w:val="2"/>
            <w:tcBorders/>
            <w:vAlign w:val="center"/>
          </w:tcPr>
          <w:p>
            <w:pPr>
              <w:pStyle w:val="TableContents"/>
              <w:bidi w:val="0"/>
              <w:spacing w:before="0" w:after="283"/>
              <w:jc w:val="left"/>
              <w:rPr/>
            </w:pPr>
            <w:r>
              <w:rPr/>
              <w:t>Jonathan Honig</w:t>
            </w:r>
          </w:p>
        </w:tc>
      </w:tr>
      <w:tr>
        <w:trPr/>
        <w:tc>
          <w:tcPr>
            <w:tcW w:w="558" w:type="dxa"/>
            <w:tcBorders/>
            <w:vAlign w:val="center"/>
          </w:tcPr>
          <w:p>
            <w:pPr>
              <w:pStyle w:val="TableContents"/>
              <w:bidi w:val="0"/>
              <w:spacing w:before="0" w:after="283"/>
              <w:jc w:val="left"/>
              <w:rPr/>
            </w:pPr>
            <w:r>
              <w:rPr/>
              <w:t>Date:</w:t>
            </w:r>
          </w:p>
        </w:tc>
        <w:tc>
          <w:tcPr>
            <w:tcW w:w="1665" w:type="dxa"/>
            <w:gridSpan w:val="2"/>
            <w:tcBorders/>
            <w:vAlign w:val="center"/>
          </w:tcPr>
          <w:p>
            <w:pPr>
              <w:pStyle w:val="TableContents"/>
              <w:bidi w:val="0"/>
              <w:spacing w:before="0" w:after="283"/>
              <w:jc w:val="left"/>
              <w:rPr/>
            </w:pPr>
            <w:r>
              <w:rPr/>
              <w:t>09/29/2026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3311</Words>
  <Characters>17564</Characters>
  <CharactersWithSpaces>20750</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