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92026_040901.xml.htm"/>
      <w:bookmarkStart w:id="1" w:name="ksform409292026_04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118"/>
        <w:gridCol w:w="3063"/>
        <w:gridCol w:w="3024"/>
      </w:tblGrid>
      <w:tr>
        <w:trPr/>
        <w:tc>
          <w:tcPr>
            <w:tcW w:w="411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98"/>
            </w:tblGrid>
            <w:tr>
              <w:trPr/>
              <w:tc>
                <w:tcPr>
                  <w:tcW w:w="3998" w:type="dxa"/>
                  <w:tcBorders/>
                  <w:vAlign w:val="center"/>
                </w:tcPr>
                <w:p>
                  <w:pPr>
                    <w:pStyle w:val="TableContents"/>
                    <w:bidi w:val="0"/>
                    <w:spacing w:before="0" w:after="283"/>
                    <w:jc w:val="left"/>
                    <w:rPr/>
                  </w:pPr>
                  <w:hyperlink r:id="rId4">
                    <w:r>
                      <w:rPr>
                        <w:rStyle w:val="InternetLink"/>
                      </w:rPr>
                      <w:t>Leung Ka Yip Danny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32"/>
              <w:gridCol w:w="1333"/>
              <w:gridCol w:w="1333"/>
            </w:tblGrid>
            <w:tr>
              <w:trPr/>
              <w:tc>
                <w:tcPr>
                  <w:tcW w:w="13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98"/>
            </w:tblGrid>
            <w:tr>
              <w:trPr/>
              <w:tc>
                <w:tcPr>
                  <w:tcW w:w="3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MONEYHERO LIMITED</w:t>
                  </w:r>
                </w:p>
              </w:tc>
            </w:tr>
            <w:tr>
              <w:trPr/>
              <w:tc>
                <w:tcPr>
                  <w:tcW w:w="3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 SHENTON WAY #18-15, EON SHENTON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32"/>
              <w:gridCol w:w="1333"/>
              <w:gridCol w:w="1333"/>
            </w:tblGrid>
            <w:tr>
              <w:trPr/>
              <w:tc>
                <w:tcPr>
                  <w:tcW w:w="133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3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3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S079118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32"/>
              <w:gridCol w:w="1333"/>
              <w:gridCol w:w="1333"/>
            </w:tblGrid>
            <w:tr>
              <w:trPr/>
              <w:tc>
                <w:tcPr>
                  <w:tcW w:w="13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98"/>
            </w:tblGrid>
            <w:tr>
              <w:trPr/>
              <w:tc>
                <w:tcPr>
                  <w:tcW w:w="3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063"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MoneyHero Ltd</w:t>
              </w:r>
            </w:hyperlink>
            <w:r>
              <w:rPr/>
              <w:t xml:space="preserve"> [ </w:t>
            </w:r>
            <w:r>
              <w:rPr>
                <w:rFonts w:ascii="Times;serif" w:hAnsi="Times;serif"/>
                <w:color w:val="0000FF"/>
                <w:sz w:val="24"/>
                <w:shd w:fill="FFFFFF" w:val="clear"/>
              </w:rPr>
              <w:t>MNY</w:t>
            </w:r>
            <w:r>
              <w:rPr/>
              <w:t xml:space="preserve"> ] </w:t>
              <w:br/>
            </w:r>
            <w:r>
              <w:rPr>
                <w:rFonts w:ascii="arial;helvetica;sans-serif" w:hAnsi="arial;helvetica;sans-serif"/>
                <w:sz w:val="20"/>
              </w:rPr>
              <w:t>Foreign Trading Symbol</w:t>
            </w:r>
          </w:p>
        </w:tc>
        <w:tc>
          <w:tcPr>
            <w:tcW w:w="3024"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5"/>
              <w:gridCol w:w="1017"/>
              <w:gridCol w:w="435"/>
              <w:gridCol w:w="1017"/>
            </w:tblGrid>
            <w:tr>
              <w:trPr/>
              <w:tc>
                <w:tcPr>
                  <w:tcW w:w="43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5"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04"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CEO and CFO</w:t>
                  </w:r>
                </w:p>
              </w:tc>
            </w:tr>
          </w:tbl>
          <w:p>
            <w:pPr>
              <w:pStyle w:val="TableContents"/>
              <w:bidi w:val="0"/>
              <w:spacing w:before="0" w:after="283"/>
              <w:jc w:val="left"/>
              <w:rPr>
                <w:sz w:val="4"/>
                <w:szCs w:val="4"/>
              </w:rPr>
            </w:pPr>
            <w:r>
              <w:rPr>
                <w:sz w:val="4"/>
                <w:szCs w:val="4"/>
              </w:rPr>
            </w:r>
          </w:p>
        </w:tc>
      </w:tr>
      <w:tr>
        <w:trPr/>
        <w:tc>
          <w:tcPr>
            <w:tcW w:w="41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063"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411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063"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24"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34"/>
              <w:gridCol w:w="2470"/>
            </w:tblGrid>
            <w:tr>
              <w:trPr/>
              <w:tc>
                <w:tcPr>
                  <w:tcW w:w="43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4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34"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5"/>
        <w:gridCol w:w="906"/>
        <w:gridCol w:w="774"/>
        <w:gridCol w:w="601"/>
        <w:gridCol w:w="351"/>
        <w:gridCol w:w="979"/>
        <w:gridCol w:w="460"/>
        <w:gridCol w:w="623"/>
        <w:gridCol w:w="1173"/>
        <w:gridCol w:w="1005"/>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10,072</w:t>
            </w:r>
            <w:r>
              <w:rPr>
                <w:rFonts w:ascii="Times;serif" w:hAnsi="Times;serif"/>
                <w:color w:val="008000"/>
                <w:position w:val="7"/>
                <w:sz w:val="16"/>
                <w:sz w:val="20"/>
                <w:shd w:fill="FFFFFF" w:val="clear"/>
              </w:rPr>
              <w:t>(1)</w:t>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65,418</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share units (the "RSUs"). Each RSU represents a contingent right to receive one Class A ordinary share of the Issuer upon settlement. 1/3rd of the RSUs will vest in equal installments on October 12, 2026, February 16, 2027 and February 15, 2028, subject to the Reporting Person's continued service with the Issuer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Ming Hei Jasper Yip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3543" TargetMode="External"/><Relationship Id="rId5" Type="http://schemas.openxmlformats.org/officeDocument/2006/relationships/hyperlink" Target="http://www.sec.gov/cgi-bin/browse-edgar?action=getcompany&amp;CIK=00019740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3424</Characters>
  <CharactersWithSpaces>3989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